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ustomTitle"/>
        <w:jc w:val="center"/>
      </w:pPr>
      <w:r>
        <w:rPr>
          <w:b/>
          <w:i w:val="0"/>
          <w:color w:val="1F4E79"/>
          <w:sz w:val="38"/>
        </w:rPr>
        <w:t>Wzór konspektu zajęć teoretycznych</w:t>
      </w:r>
    </w:p>
    <w:p>
      <w:pPr>
        <w:pStyle w:val="SubtitleCustom"/>
        <w:jc w:val="center"/>
      </w:pPr>
      <w:r>
        <w:t>Temat: zachowanie kierującego samochodem kat. B wobec niechronionych uczestników ruchu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</w:tblPr>
      <w:tblGrid>
        <w:gridCol w:w="9972"/>
      </w:tblGrid>
      <w:tr>
        <w:trPr>
          <w:cantSplit/>
        </w:trPr>
        <w:tc>
          <w:tcPr>
            <w:tcW w:type="dxa" w:w="9638"/>
            <w:shd w:fill="D9EAF7" w:val="clear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pPr>
              <w:jc w:val="center"/>
            </w:pPr>
            <w:r>
              <w:rPr>
                <w:b w:val="0"/>
                <w:i w:val="0"/>
                <w:color w:val="1F4E79"/>
                <w:sz w:val="20"/>
              </w:rPr>
              <w:t>Dokument opracowany jako praktyczny, gotowy do użycia wzór dla instruktora nauki jazdy.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</w:tblPr>
      <w:tblGrid>
        <w:gridCol w:w="4986"/>
        <w:gridCol w:w="4986"/>
      </w:tblGrid>
      <w:tr>
        <w:trPr>
          <w:cantSplit/>
          <w:tblHeader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t>Rodzaj zajęć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Zajęcia teoretyczne z odniesieniem do późniejszego ćwiczenia praktycznego w ruchu drogowym.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t>Adresaci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Osoby ubiegające się o prawo jazdy kategorii B.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t>Czas trwania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45 minut dydaktycznych.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t>Miejsce w programie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Zachowanie wobec innych uczestników ruchu; część praktyczna: przejścia dla pieszych, przejazdy dla rowerów, skręt w drogę poprzeczną, droga dla pieszych i rowerów, rejon przystanku.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t>Temat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Zachowanie kierującego samochodem kat. B wobec niechronionych uczestników ruchu.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t>Cel główny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Ukształtowanie u kursanta prawidłowego, zgodnego z prawem i defensywnego sposobu obserwacji, oceny ryzyka i zachowania wobec niechronionych uczestników ruchu.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t>Podstawa prawna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Art. 2 pkt 17, 18, 22 i 23, art. 3, art. 4, art. 13–15a, art. 26 i art. 27 ustawy – Prawo o ruchu drogowym; rozporządzenie w sprawie znaków i sygnałów drogowych – w zakresie znaków D-6, D-6a, D-6b, przejść dla pieszych i przejazdów dla rowerów; załącznik nr 1 do rozporządzenia z 4 marca 2016 r. w sprawie szkolenia osób ubiegających się o uprawnienia do kierowania pojazdami, instruktorów i wykładowców.</w:t>
            </w:r>
          </w:p>
        </w:tc>
      </w:tr>
    </w:tbl>
    <w:p/>
    <w:p>
      <w:pPr>
        <w:keepNext/>
      </w:pPr>
      <w:r>
        <w:br w:type="page"/>
      </w:r>
    </w:p>
    <w:p>
      <w:pPr>
        <w:pStyle w:val="Heading1"/>
      </w:pPr>
      <w:r>
        <w:rPr>
          <w:b/>
          <w:i w:val="0"/>
          <w:color w:val="1F4E79"/>
          <w:sz w:val="27"/>
        </w:rPr>
        <w:t>Cele zajęć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</w:tblPr>
      <w:tblGrid>
        <w:gridCol w:w="3324"/>
        <w:gridCol w:w="3324"/>
        <w:gridCol w:w="3324"/>
      </w:tblGrid>
      <w:tr>
        <w:trPr>
          <w:cantSplit/>
          <w:tblHeader/>
        </w:trPr>
        <w:tc>
          <w:tcPr>
            <w:tcW w:type="dxa" w:w="3175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r>
              <w:t>Cele poznawcze</w:t>
            </w:r>
          </w:p>
        </w:tc>
        <w:tc>
          <w:tcPr>
            <w:tcW w:type="dxa" w:w="3231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r>
              <w:t>Cele kształcące</w:t>
            </w:r>
          </w:p>
        </w:tc>
        <w:tc>
          <w:tcPr>
            <w:tcW w:type="dxa" w:w="3231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r>
              <w:t>Cele wychowawcze / postawy</w:t>
            </w:r>
          </w:p>
        </w:tc>
      </w:tr>
      <w:tr>
        <w:trPr>
          <w:cantSplit/>
        </w:trPr>
        <w:tc>
          <w:tcPr>
            <w:tcW w:type="dxa" w:w="3324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r>
              <w:br/>
              <w:t>kursant wyjaśnia, jakie obowiązki kierującego wynikają wobec pieszych, rowerzystów, kierujących hulajnogą elektryczną, urządzeniem transportu osobistego oraz osób poruszających się przy użyciu urządzenia wspomagającego ruch;</w:t>
              <w:br/>
              <w:t>rozpoznaje miejsca typowych konfliktów: przejście dla pieszych, przejazd dla rowerów, skręt w drogę poprzeczną, droga dla pieszych i rowerów, rejon przystanku;</w:t>
              <w:br/>
              <w:t>odróżnia pojęcie opisowe „niechroniony uczestnik ruchu” od konkretnych norm prawnych regulujących zachowanie kierującego.</w:t>
            </w:r>
          </w:p>
        </w:tc>
        <w:tc>
          <w:tcPr>
            <w:tcW w:type="dxa" w:w="3324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r>
              <w:br/>
              <w:t>kursant potrafi ocenić strefę zagrożenia i dobrać prędkość oraz sposób jazdy do obecności niechronionych uczestników ruchu;</w:t>
              <w:br/>
              <w:t>prawidłowo opisuje obowiązki kierującego przy przejściu dla pieszych, przejeździe dla rowerów i przy skręcie w drogę poprzeczną;</w:t>
              <w:br/>
              <w:t>uzasadnia decyzję o zwolnieniu, zatrzymaniu albo kontynuowaniu jazdy na podstawie konkretnej sytuacji drogowej.</w:t>
            </w:r>
          </w:p>
        </w:tc>
        <w:tc>
          <w:tcPr>
            <w:tcW w:type="dxa" w:w="3324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r>
              <w:br/>
              <w:t>rozwija respekt wobec uczestników ruchu, którzy nie są chronieni karoserią pojazdu;</w:t>
              <w:br/>
              <w:t>wzmacnia postawę cierpliwości, empatii i ograniczonego zaufania;</w:t>
              <w:br/>
              <w:t>utrwala zasadę, że formalne pierwszeństwo albo zielony sygnał nie zwalniają kierującego z obserwacji i przewidywania ryzyka.</w:t>
            </w:r>
          </w:p>
        </w:tc>
      </w:tr>
    </w:tbl>
    <w:p>
      <w:pPr>
        <w:keepNext/>
      </w:pPr>
    </w:p>
    <w:p>
      <w:pPr>
        <w:pStyle w:val="Heading1"/>
      </w:pPr>
      <w:r>
        <w:rPr>
          <w:b/>
          <w:i w:val="0"/>
          <w:color w:val="1F4E79"/>
          <w:sz w:val="27"/>
        </w:rPr>
        <w:t>Metody, formy i środki dydaktyczne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</w:tblPr>
      <w:tblGrid>
        <w:gridCol w:w="4986"/>
        <w:gridCol w:w="4986"/>
      </w:tblGrid>
      <w:tr>
        <w:trPr>
          <w:cantSplit/>
          <w:tblHeader/>
        </w:trPr>
        <w:tc>
          <w:tcPr>
            <w:tcW w:type="dxa" w:w="4986"/>
            <w:shd w:fill="F3F7FB" w:val="clea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t>Metody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t>• miniwykład problemowy,</w:t>
              <w:br/>
              <w:t>• rozmowa kierowana,</w:t>
              <w:br/>
              <w:t>• analiza przypadku i krótkich scenariuszy z udziałem pieszych, rowerzystów i hulajnóg,</w:t>
              <w:br/>
              <w:t>• pokaz znaków i schematów sytuacyjnych,</w:t>
              <w:br/>
              <w:t>• pytania sprawdzające.</w:t>
            </w:r>
          </w:p>
        </w:tc>
      </w:tr>
      <w:tr>
        <w:trPr>
          <w:cantSplit/>
        </w:trPr>
        <w:tc>
          <w:tcPr>
            <w:tcW w:type="dxa" w:w="4986"/>
            <w:shd w:fill="F3F7FB" w:val="clea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t>Formy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t>• praca zbiorowa z elementami odpowiedzi indywidualnych.</w:t>
            </w:r>
          </w:p>
        </w:tc>
      </w:tr>
      <w:tr>
        <w:trPr>
          <w:cantSplit/>
        </w:trPr>
        <w:tc>
          <w:tcPr>
            <w:tcW w:type="dxa" w:w="4986"/>
            <w:shd w:fill="F3F7FB" w:val="clea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t>Środki dydaktyczne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t>• plansza lub slajdy ze znakami D-6, D-6a, D-6b oraz schematami przejść dla pieszych, przejazdów dla rowerów i skrętu w drogę poprzeczną;</w:t>
              <w:br/>
              <w:t>• tablica / flipchart / tablet;</w:t>
              <w:br/>
              <w:t>• opcjonalnie: krótkie nagranie lub stopklatki pokazujące konflikt z pieszym, rowerzystą albo hulajnogą.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6B656"/>
          <w:left w:val="single" w:sz="8" w:space="0" w:color="D6B656"/>
          <w:bottom w:val="single" w:sz="8" w:space="0" w:color="D6B656"/>
          <w:right w:val="single" w:sz="8" w:space="0" w:color="D6B656"/>
          <w:insideH w:val="single" w:sz="8" w:space="0" w:color="D6B656"/>
          <w:insideV w:val="single" w:sz="8" w:space="0" w:color="D6B656"/>
        </w:tblBorders>
      </w:tblPr>
      <w:tblGrid>
        <w:gridCol w:w="9972"/>
      </w:tblGrid>
      <w:tr>
        <w:trPr>
          <w:cantSplit/>
        </w:trPr>
        <w:tc>
          <w:tcPr>
            <w:tcW w:type="dxa" w:w="9638"/>
            <w:shd w:fill="FFF4CC" w:val="clea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t>Sekwencja, którą warto utrwalać podczas zajęć:</w:t>
              <w:br/>
              <w:t>ZOBACZ  →  ZWOLNIJ  →  OCEŃ RYZYKO  →  USTĄP / ZATRZYMAJ  →  JEDŹ DALEJ DOPIERO, GDY TOR RUCHU JEST WOLNY</w:t>
            </w:r>
          </w:p>
        </w:tc>
      </w:tr>
    </w:tbl>
    <w:p>
      <w:pPr>
        <w:keepNext/>
      </w:pPr>
    </w:p>
    <w:p>
      <w:pPr>
        <w:pStyle w:val="Heading1"/>
      </w:pPr>
      <w:r>
        <w:rPr>
          <w:b/>
          <w:i w:val="0"/>
          <w:color w:val="1F4E79"/>
          <w:sz w:val="27"/>
        </w:rPr>
        <w:t>Przebieg zajęć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</w:tblPr>
      <w:tblGrid>
        <w:gridCol w:w="2493"/>
        <w:gridCol w:w="2493"/>
        <w:gridCol w:w="2493"/>
        <w:gridCol w:w="2493"/>
      </w:tblGrid>
      <w:tr>
        <w:trPr>
          <w:cantSplit/>
          <w:tblHeader/>
        </w:trPr>
        <w:tc>
          <w:tcPr>
            <w:tcW w:type="dxa" w:w="1531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r>
              <w:t>Etap i czas</w:t>
            </w:r>
          </w:p>
        </w:tc>
        <w:tc>
          <w:tcPr>
            <w:tcW w:type="dxa" w:w="4025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r>
              <w:t>Działania instruktora / treść merytoryczna</w:t>
            </w:r>
          </w:p>
        </w:tc>
        <w:tc>
          <w:tcPr>
            <w:tcW w:type="dxa" w:w="2665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r>
              <w:t>Aktywność kursanta / oczekiwany efekt</w:t>
            </w:r>
          </w:p>
        </w:tc>
        <w:tc>
          <w:tcPr>
            <w:tcW w:type="dxa" w:w="1417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r>
              <w:t>Metody i środki</w:t>
            </w:r>
          </w:p>
        </w:tc>
      </w:tr>
      <w:tr>
        <w:trPr>
          <w:cantSplit/>
        </w:trPr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Wprowadzenie</w:t>
              <w:br/>
              <w:t>5 min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Instruktor stawia pytanie aktywizujące: „Czy zielone światło albo formalne pierwszeństwo zawsze pozwalają przejechać bez zwalniania obok pieszego lub rowerzysty?”</w:t>
              <w:br/>
              <w:t>• Krótko uzasadnia wagę tematu: niechroniony uczestnik ruchu nie ma osłony pojazdu, a skutki błędu kierującego są zwykle poważne.</w:t>
              <w:br/>
              <w:t>• Przedstawia cel zajęć i porządkuje tok lekcji.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Kursanci ujawniają dotychczasowe przekonania i odpowiadają na pytanie wstępne.</w:t>
              <w:br/>
              <w:t>• Budują motywację do poznania prawidłowych reguł prawnych i praktycznych.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pytanie problemowe</w:t>
              <w:br/>
              <w:t>• rozmowa kierowana</w:t>
            </w:r>
          </w:p>
        </w:tc>
      </w:tr>
      <w:tr>
        <w:trPr>
          <w:cantSplit/>
        </w:trPr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1. Zakres pojęcia i miejsca konfliktów</w:t>
              <w:br/>
              <w:t>8 min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Instruktor wyjaśnia, że „niechroniony uczestnik ruchu” jest pojęciem opisowym używanym w bezpieczeństwie ruchu, a w praktyce chodzi przede wszystkim o pieszych, rowerzystów, kierujących hulajnogą elektryczną, UTO oraz osoby poruszające się przy użyciu urządzenia wspomagającego ruch.</w:t>
              <w:br/>
              <w:t>• Wskazuje miejsca typowych konfliktów: przejście dla pieszych, przejazd dla rowerów, skręt w drogę poprzeczną, droga dla pieszych i rowerów, rejon przystanku tramwajowego.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Kursant rozpoznaje miejsca, w których ryzyko dla niechronionych uczestników ruchu rośnie.</w:t>
              <w:br/>
              <w:t>• Rozumie, że temat nie ogranicza się wyłącznie do „pasów dla pieszych”.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pokaz plansz/slajdów</w:t>
              <w:br/>
              <w:t>• analiza schematu</w:t>
            </w:r>
          </w:p>
        </w:tc>
      </w:tr>
      <w:tr>
        <w:trPr>
          <w:cantSplit/>
        </w:trPr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2. Obowiązki kierującego</w:t>
              <w:br/>
              <w:t>10 min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Omówienie art. 26 i 27 PoRD: obowiązków wobec pieszego na przejściu i wchodzącego na przejście, wobec rowerzysty i innych użytkowników infrastruktury rowerowej oraz wobec pieszego przy skręcie w drogę poprzeczną.</w:t>
              <w:br/>
              <w:t>• Instruktor podkreśla praktyczne znaczenie szczególnej ostrożności, doboru prędkości i obserwacji całej strefy zagrożenia.</w:t>
              <w:br/>
              <w:t>• Zwraca uwagę na obowiązek zatrzymania wobec osoby o widocznej ograniczonej sprawności ruchowej.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Kursant potrafi opisać podstawowe obowiązki kierującego przy przejściu dla pieszych, przejeździe dla rowerów i przy skręcie.</w:t>
              <w:br/>
              <w:t>• Rozumie, że kierujący nie może jechać „na pamięć” ani zakładać, że słabszy uczestnik ruchu ustąpi mu drogi.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miniwykład</w:t>
              <w:br/>
              <w:t>• pytania naprowadzające</w:t>
            </w:r>
          </w:p>
        </w:tc>
      </w:tr>
      <w:tr>
        <w:trPr>
          <w:cantSplit/>
        </w:trPr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3. Zakazy i sytuacje ryzyka</w:t>
              <w:br/>
              <w:t>8 min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Omówienie zakazu wyprzedzania na przejściu dla pieszych i bezpośrednio przed nim oraz zakazu omijania pojazdu zatrzymanego, aby ustąpić pieszemu.</w:t>
              <w:br/>
              <w:t>• Omówienie zakazu wyprzedzania na przejeździe dla rowerów i bezpośrednio przed nim.</w:t>
              <w:br/>
              <w:t>• Instruktor pokazuje 2–3 przykłady: przejście lub przejazd częściowo zasłonięte, skręt przez drogę dla rowerów, wyjazd z podporządkowanej przy obecności hulajnogi.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Kursant rozpoznaje zachowania bezwzględnie zabronione i sytuacje, w których ryzyko wzrasta mimo pozornie dobrej widoczności.</w:t>
              <w:br/>
              <w:t>• Uczy się, że konflikt z niechronionym uczestnikiem ruchu może powstać nagle i lokalnie.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analiza przypadku</w:t>
              <w:br/>
              <w:t>• rozmowa kierowana</w:t>
            </w:r>
          </w:p>
        </w:tc>
      </w:tr>
      <w:tr>
        <w:trPr>
          <w:cantSplit/>
        </w:trPr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4. Uczestnicy szczególnie narażeni</w:t>
              <w:br/>
              <w:t>8 min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Omówienie sytuacji dziecka, osoby starszej, osoby o widocznej ograniczonej sprawności ruchowej, użytkownika urządzenia wspomagającego ruch oraz osoby poruszającej się wolniej niż zakłada to kierujący.</w:t>
              <w:br/>
              <w:t>• Instruktor wskazuje, że ograniczone zaufanie i cierpliwość są elementem profesjonalnego stylu jazdy, a nie uprzejmością „ponad normę”.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Kursant opisuje kolejność działań w sytuacji, gdy zamiar niechronionego uczestnika ruchu nie jest jeszcze oczywisty.</w:t>
              <w:br/>
              <w:t>• Rozumie, że większa ostrożność wobec słabszego uczestnika ruchu jest obowiązkiem wynikającym z prawa i zdrowego rozsądku.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miniwykład</w:t>
              <w:br/>
              <w:t>• analiza scenariusza</w:t>
            </w:r>
          </w:p>
        </w:tc>
      </w:tr>
      <w:tr>
        <w:trPr>
          <w:cantSplit/>
        </w:trPr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Podsumowanie</w:t>
              <w:br/>
              <w:t>6 min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Instruktor zadaje pytania kontrolne i porządkuje główną zasadę: formalne pierwszeństwo nie zwalnia kierującego z obserwacji i reakcji na obecność niechronionego uczestnika ruchu.</w:t>
              <w:br/>
              <w:t>• Zamyka zajęcia syntezą prawną i praktyczną.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Kursant odpowiada na pytania problemowe i własnymi słowami formułuje regułę bezpiecznego zachowania wobec niechronionych uczestników ruchu.</w:t>
              <w:br/>
              <w:t>• Instruktor może zlecić obserwację lokalnego przejścia i przejazdu rowerowego jako przygotowanie do części praktycznej.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pytania sprawdzające</w:t>
              <w:br/>
              <w:t>• podsumowanie</w:t>
              <w:br/>
              <w:t>• mini-quiz</w:t>
            </w:r>
          </w:p>
        </w:tc>
      </w:tr>
    </w:tbl>
    <w:p>
      <w:pPr>
        <w:keepNext/>
      </w:pPr>
    </w:p>
    <w:p>
      <w:pPr>
        <w:pStyle w:val="Heading1"/>
      </w:pPr>
      <w:r>
        <w:rPr>
          <w:b/>
          <w:i w:val="0"/>
          <w:color w:val="1F4E79"/>
          <w:sz w:val="27"/>
        </w:rPr>
        <w:t>Kluczowe treści do wyeksponowania przez instruktora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</w:tblPr>
      <w:tblGrid>
        <w:gridCol w:w="4986"/>
        <w:gridCol w:w="4986"/>
      </w:tblGrid>
      <w:tr>
        <w:trPr>
          <w:cantSplit/>
          <w:tblHeader/>
        </w:trPr>
        <w:tc>
          <w:tcPr>
            <w:tcW w:type="dxa" w:w="2835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r>
              <w:t>Zakres</w:t>
            </w:r>
          </w:p>
        </w:tc>
        <w:tc>
          <w:tcPr>
            <w:tcW w:type="dxa" w:w="6803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r>
              <w:t>Treść do wyjaśnienia kursantowi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t>Pojęcie praktyczne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„Niechroniony uczestnik ruchu” nie jest odrębną definicją ustawową, lecz użytecznym pojęciem opisowym. W praktyce szkolenia obejmuje przede wszystkim pieszych, rowerzystów, kierujących hulajnogą elektryczną i UTO oraz osoby poruszające się przy użyciu urządzenia wspomagającego ruch.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t>Przejście dla pieszych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Kierujący ma obowiązek zachować szczególną ostrożność, zmniejszyć prędkość i ustąpić pierwszeństwa pieszemu znajdującemu się na przejściu oraz wchodzącemu na przejście.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t>Skręt w drogę poprzeczną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Przy skręcie kierujący ustępuje pierwszeństwa pieszemu przechodzącemu przez jezdnię drogi, na którą wjeżdża, a także rowerzyście, hulajnodze, UTO lub osobie przy użyciu urządzenia wspomagającego ruch jadącym na wprost po części drogi, którą zamierza opuścić.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t>Przejazd dla rowerów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Przy dojeździe do przejazdu dla rowerów kierujący zachowuje szczególną ostrożność i ustępuje pierwszeństwa użytkownikom znajdującym się na przejeździe.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t>Dobór prędkości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Nie wystarcza „widzieć znaków”. Do miejsc konfliktów należy dojeżdżać z taką prędkością, aby możliwe było bezpieczne zatrzymanie pojazdu.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t>Zakazy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Nie wolno wyprzedzać na przejściu dla pieszych ani bezpośrednio przed nim oraz omijać pojazdu, który zatrzymał się w celu ustąpienia pierwszeństwa pieszemu. Nie wolno także wyprzedzać na przejeździe dla rowerów i bezpośrednio przed nim, z wyjątkiem przejazdu z ruchem kierowanym.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t>Osoby szczególnie narażone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Osoba starsza, dziecko, osoba o widocznej ograniczonej sprawności ruchowej czy użytkownik urządzenia wspomagającego ruch wymagają jeszcze większej uwagi i cierpliwości kierującego.</w:t>
            </w:r>
          </w:p>
        </w:tc>
      </w:tr>
    </w:tbl>
    <w:p>
      <w:pPr>
        <w:keepNext/>
      </w:pPr>
    </w:p>
    <w:p>
      <w:pPr>
        <w:pStyle w:val="Heading1"/>
      </w:pPr>
      <w:r>
        <w:rPr>
          <w:b/>
          <w:i w:val="0"/>
          <w:color w:val="1F4E79"/>
          <w:sz w:val="27"/>
        </w:rPr>
        <w:t>Pytania kontrolne po zajęciach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</w:tblPr>
      <w:tblGrid>
        <w:gridCol w:w="9972"/>
      </w:tblGrid>
      <w:tr>
        <w:trPr>
          <w:cantSplit/>
        </w:trPr>
        <w:tc>
          <w:tcPr>
            <w:tcW w:type="dxa" w:w="9638"/>
            <w:shd w:fill="EAF4EA" w:val="clea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r>
              <w:t>1. Kogo w praktyce szkolenia zalicza się do niechronionych uczestników ruchu?</w:t>
              <w:br/>
              <w:t>2. Jak powinien zachować się kierujący przy skręcie w drogę poprzeczną, gdy przez jezdnię przechodzi pieszy albo na wprost jedzie rowerzysta?</w:t>
              <w:br/>
              <w:t>3. Czy wolno ominąć pojazd zatrzymany przed przejściem dla pieszych? Uzasadnij odpowiedź.</w:t>
              <w:br/>
              <w:t>4. Jakie obowiązki powstają wobec osoby o widocznej ograniczonej sprawności ruchowej?</w:t>
              <w:br/>
              <w:t>5. Dlaczego formalne pierwszeństwo albo zielony sygnał nie zwalniają kierującego z obserwacji strefy zagrożenia?</w:t>
            </w:r>
          </w:p>
        </w:tc>
      </w:tr>
    </w:tbl>
    <w:p>
      <w:pPr>
        <w:keepNext/>
      </w:pPr>
    </w:p>
    <w:p>
      <w:pPr>
        <w:pStyle w:val="Heading1"/>
      </w:pPr>
      <w:r>
        <w:rPr>
          <w:b/>
          <w:i w:val="0"/>
          <w:color w:val="1F4E79"/>
          <w:sz w:val="27"/>
        </w:rPr>
        <w:t>Najczęstsze błędy kursantów i uwagi metodyczne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</w:tblPr>
      <w:tblGrid>
        <w:gridCol w:w="4986"/>
        <w:gridCol w:w="4986"/>
      </w:tblGrid>
      <w:tr>
        <w:trPr>
          <w:cantSplit/>
          <w:tblHeader/>
        </w:trPr>
        <w:tc>
          <w:tcPr>
            <w:tcW w:type="dxa" w:w="4819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r>
              <w:t>Najczęstsze błędy kursantów</w:t>
            </w:r>
          </w:p>
        </w:tc>
        <w:tc>
          <w:tcPr>
            <w:tcW w:type="dxa" w:w="4819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r>
              <w:t>Uwagi metodyczne dla instruktora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r>
              <w:t>• skupianie uwagi wyłącznie na innych pojazdach, bez obserwacji pieszych i rowerzystów;</w:t>
              <w:br/>
              <w:t>• nieuwzględnianie przejazdu dla rowerów lub drogi rowerowej przy skręcie;</w:t>
              <w:br/>
              <w:t>• zbyt późne zwalnianie i brak gotowości do zatrzymania;</w:t>
              <w:br/>
              <w:t>• mechaniczne stosowanie zasady pierwszeństwa bez oceny ryzyka;</w:t>
              <w:br/>
              <w:t>• niedostrzeganie hulajnóg i UTO poruszających się szybciej niż pieszy.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r>
              <w:t>• nie ucz samego polecenia „spójrz”, lecz obserwacji całej strefy konfliktu i oceny zamiaru słabszego uczestnika ruchu;</w:t>
              <w:br/>
              <w:t>• łącz przepis z konkretnym obrazem drogowym lub krótkim scenariuszem;</w:t>
              <w:br/>
              <w:t>• wyraźnie odróżniaj formalne pierwszeństwo od braku obowiązku myślenia;</w:t>
              <w:br/>
              <w:t>• w części praktycznej pokaż przejście dla pieszych, przejazd dla rowerów, skręt przez drogę dla rowerów i sytuację z osobą poruszającą się wolniej;</w:t>
              <w:br/>
              <w:t>• podkreślaj znaczenie języka szacunku wobec niechronionych uczestników ruchu.</w:t>
            </w:r>
          </w:p>
        </w:tc>
      </w:tr>
    </w:tbl>
    <w:p>
      <w:pPr>
        <w:keepNext/>
      </w:pPr>
    </w:p>
    <w:p>
      <w:pPr>
        <w:pStyle w:val="Heading1"/>
      </w:pPr>
      <w:r>
        <w:rPr>
          <w:b/>
          <w:i w:val="0"/>
          <w:color w:val="1F4E79"/>
          <w:sz w:val="27"/>
        </w:rPr>
        <w:t>Podstawa prawna i literatura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</w:tblPr>
      <w:tblGrid>
        <w:gridCol w:w="4986"/>
        <w:gridCol w:w="4986"/>
      </w:tblGrid>
      <w:tr>
        <w:trPr>
          <w:cantSplit/>
          <w:tblHeader/>
        </w:trPr>
        <w:tc>
          <w:tcPr>
            <w:tcW w:type="dxa" w:w="4986"/>
            <w:shd w:fill="F3F7FB" w:val="clea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t>Akty prawne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t>• Ustawa z dnia 20 czerwca 1997 r. – Prawo o ruchu drogowym (tekst jedn.: Dz.U. z 2024 r. poz. 1251 ze zm., stan prawny aktualny na dzień opracowania konspektu), w szczególności art. 2 pkt 17, 18, 22 i 23, art. 3, art. 4, art. 13–15a, art. 26 i art. 27.</w:t>
              <w:br/>
              <w:t>• Rozporządzenie Ministrów Infrastruktury oraz Spraw Wewnętrznych i Administracji z dnia 31 lipca 2002 r. w sprawie znaków i sygnałów drogowych (tekst jedn.: Dz.U. z 2019 r. poz. 2310 ze zm., stan prawny aktualny), w zakresie znaków D-6, D-6a, D-6b oraz oznakowania przejść dla pieszych i przejazdów dla rowerów.</w:t>
              <w:br/>
              <w:t>• Rozporządzenie Ministra Infrastruktury i Budownictwa z dnia 4 marca 2016 r. w sprawie szkolenia osób ubiegających się o uprawnienia do kierowania pojazdami, instruktorów i wykładowców, tekst jedn.: Dz.U. z 2018 r. poz. 1885 ze zm., załącznik nr 1.</w:t>
            </w:r>
          </w:p>
        </w:tc>
      </w:tr>
      <w:tr>
        <w:trPr>
          <w:cantSplit/>
        </w:trPr>
        <w:tc>
          <w:tcPr>
            <w:tcW w:type="dxa" w:w="4986"/>
            <w:shd w:fill="F3F7FB" w:val="clea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t>Literatura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t>• Stefański R. A., Prawo o ruchu drogowym. Komentarz, Wolters Kluwer, Warszawa 2024.</w:t>
              <w:br/>
              <w:t>• Kupisiewicz C., Dydaktyka. Podręcznik akademicki, Oficyna Wydawnicza Impuls, Kraków 2012.</w:t>
              <w:br/>
              <w:t>• Okoń W., Wprowadzenie do dydaktyki ogólnej, Wydawnictwo Akademickie Żak, Warszawa 2003.</w:t>
              <w:br/>
              <w:t>• Kolb D. A., Experiential Learning: Experience as the Source of Learning and Development, 2nd ed., Pearson, 2015.</w:t>
            </w:r>
          </w:p>
        </w:tc>
      </w:tr>
    </w:tbl>
    <w:p>
      <w:pPr>
        <w:keepNext/>
      </w:pPr>
    </w:p>
    <w:p>
      <w:pPr>
        <w:pStyle w:val="Heading2"/>
      </w:pPr>
      <w:r>
        <w:rPr>
          <w:b/>
          <w:i w:val="0"/>
          <w:color w:val="1F4E79"/>
          <w:sz w:val="24"/>
        </w:rPr>
        <w:t>Miejsce na adaptację przez instruktora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</w:tblPr>
      <w:tblGrid>
        <w:gridCol w:w="9972"/>
      </w:tblGrid>
      <w:tr>
        <w:trPr>
          <w:cantSplit/>
        </w:trPr>
        <w:tc>
          <w:tcPr>
            <w:tcW w:type="dxa" w:w="9638"/>
            <w:shd w:fill="FCFCFC" w:val="clear"/>
            <w:tcMar>
              <w:top w:w="90" w:type="dxa"/>
              <w:start w:w="120" w:type="dxa"/>
              <w:bottom w:w="250" w:type="dxa"/>
              <w:end w:w="120" w:type="dxa"/>
            </w:tcMar>
          </w:tcPr>
          <w:p>
            <w:r>
              <w:t>Uwagi własne instruktora / lokalne przykłady przejść, przejazdów dla rowerów i miejsc konfliktu / plan późniejszego ćwiczenia praktycznego:</w:t>
              <w:br/>
              <w:t>................................................................................................................................................................</w:t>
              <w:br/>
              <w:t>................................................................................................................................................................</w:t>
              <w:br/>
              <w:t>................................................................................................................................................................</w:t>
              <w:br/>
              <w:t>................................................................................................................................................................</w:t>
            </w:r>
          </w:p>
        </w:tc>
      </w:tr>
    </w:tbl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76" w:lineRule="auto"/>
    </w:pPr>
    <w:rPr>
      <w:rFonts w:ascii="Arial" w:hAnsi="Arial" w:eastAsia="Arial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8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7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ustomTitle">
    <w:name w:val="CustomTitle"/>
    <w:pPr>
      <w:spacing w:after="40" w:before="0"/>
    </w:pPr>
    <w:rPr>
      <w:rFonts w:ascii="Arial" w:hAnsi="Arial" w:eastAsia="Arial"/>
      <w:b/>
      <w:color w:val="1F4E79"/>
      <w:sz w:val="38"/>
    </w:rPr>
  </w:style>
  <w:style w:type="paragraph" w:customStyle="1" w:styleId="SubtitleCustom">
    <w:name w:val="SubtitleCustom"/>
    <w:pPr>
      <w:spacing w:after="200"/>
    </w:pPr>
    <w:rPr>
      <w:rFonts w:ascii="Arial" w:hAnsi="Arial" w:eastAsia="Arial"/>
      <w:i/>
      <w:color w:val="666666"/>
      <w:sz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dcterms:created xsi:type="dcterms:W3CDTF">2013-12-23T23:15:00Z</dcterms:created>
  <dcterms:modified xsi:type="dcterms:W3CDTF">2013-12-23T23:15:00Z</dcterms:modified>
  <cp:category/>
</cp:coreProperties>
</file>